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135E2" w:rsidRDefault="003135E2" w:rsidP="003135E2">
      <w:pPr>
        <w:jc w:val="both"/>
        <w:rPr>
          <w:sz w:val="96"/>
        </w:rPr>
      </w:pPr>
      <w:r w:rsidRPr="00211ED0">
        <w:rPr>
          <w:rFonts w:ascii="Arial Narrow" w:hAnsi="Arial Narrow"/>
          <w:noProof/>
          <w:color w:val="002060"/>
          <w:lang w:eastAsia="es-CL"/>
        </w:rPr>
        <w:drawing>
          <wp:anchor distT="0" distB="0" distL="114300" distR="114300" simplePos="0" relativeHeight="251659264" behindDoc="1" locked="0" layoutInCell="1" allowOverlap="1" wp14:anchorId="03D8E2D3" wp14:editId="3282781E">
            <wp:simplePos x="0" y="0"/>
            <wp:positionH relativeFrom="margin">
              <wp:align>right</wp:align>
            </wp:positionH>
            <wp:positionV relativeFrom="paragraph">
              <wp:posOffset>-4318</wp:posOffset>
            </wp:positionV>
            <wp:extent cx="1788363" cy="1114425"/>
            <wp:effectExtent l="0" t="0" r="2540" b="0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 TCV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8363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35E2" w:rsidRDefault="003135E2" w:rsidP="003135E2">
      <w:pPr>
        <w:jc w:val="both"/>
        <w:rPr>
          <w:sz w:val="96"/>
        </w:rPr>
      </w:pPr>
    </w:p>
    <w:p w:rsidR="003135E2" w:rsidRDefault="003135E2" w:rsidP="003135E2">
      <w:pPr>
        <w:jc w:val="both"/>
        <w:rPr>
          <w:sz w:val="96"/>
        </w:rPr>
      </w:pPr>
    </w:p>
    <w:p w:rsidR="003135E2" w:rsidRPr="007C7E09" w:rsidRDefault="003135E2" w:rsidP="003135E2">
      <w:pPr>
        <w:rPr>
          <w:rFonts w:asciiTheme="majorHAnsi" w:hAnsiTheme="majorHAnsi"/>
          <w:b/>
          <w:sz w:val="96"/>
        </w:rPr>
      </w:pPr>
      <w:r w:rsidRPr="00211ED0">
        <w:rPr>
          <w:rFonts w:ascii="Arial Narrow" w:hAnsi="Arial Narrow"/>
          <w:noProof/>
          <w:color w:val="002060"/>
          <w:sz w:val="60"/>
          <w:szCs w:val="60"/>
          <w:lang w:eastAsia="es-C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246EAF8" wp14:editId="05B0FE4B">
                <wp:simplePos x="0" y="0"/>
                <wp:positionH relativeFrom="margin">
                  <wp:posOffset>-47625</wp:posOffset>
                </wp:positionH>
                <wp:positionV relativeFrom="paragraph">
                  <wp:posOffset>509838</wp:posOffset>
                </wp:positionV>
                <wp:extent cx="5581650" cy="0"/>
                <wp:effectExtent l="0" t="19050" r="19050" b="19050"/>
                <wp:wrapNone/>
                <wp:docPr id="11" name="Conector rec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8165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95DCC44" id="Conector recto 11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3.75pt,40.15pt" to="435.75pt,4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D1y3AEAAAwEAAAOAAAAZHJzL2Uyb0RvYy54bWysU9uK2zAQfS/0H4TeGzspSYOJs7BZti+l&#10;De32AxR5lAh0Y6TGzt93JCfepS0slH2RLc2cM3POSJu7wRp2Bozau5bPZzVn4KTvtDu2/OfT44c1&#10;ZzEJ1wnjHbT8ApHfbd+/2/ShgYU/edMBMiJxselDy08phaaqojyBFXHmAzgKKo9WJNrisepQ9MRu&#10;TbWo61XVe+wCegkx0unDGOTbwq8UyPRNqQiJmZZTb6msWNZDXqvtRjRHFOGk5bUN8R9dWKEdFZ2o&#10;HkQS7Bfqv6isluijV2kmva28UlpC0UBq5vUfan6cRICihcyJYbIpvh2t/HreI9MdzW7OmROWZrSj&#10;ScnkkWH+MAqQS32IDSXv3B6vuxj2mCUPCm3+khg2FGcvk7MwJCbpcLlcz1dLGoC8xapnYMCYPoO3&#10;LP+03GiXRYtGnL/ERMUo9ZaSj41jfcsX6+WnZUmL3ujuURuTgxGPh51BdhZ54PV9TUVHihdpRGgc&#10;8WZNo4ryly4GxgLfQZEn1PfHsUK+jTDRCinBpdWV1zjKzjBFLUzA+nXgNT9DodzUCbx4HTwhSmXv&#10;0gS22nn8F0EayiBJvBrzbw6MurMFB99dynyLNXTlivnX55Hv9Mt9gT8/4u1vAAAA//8DAFBLAwQU&#10;AAYACAAAACEA23D+Vd0AAAAIAQAADwAAAGRycy9kb3ducmV2LnhtbEyPwU7DMBBE70j8g7VIvbVO&#10;W5WEEKdCoB7KBZG2B25uvCQR9jqK3Tb8PYs4lOPOjGbfFOvRWXHGIXSeFMxnCQik2puOGgX73Waa&#10;gQhRk9HWEyr4xgDr8vam0LnxF3rHcxUbwSUUcq2gjbHPpQx1i06Hme+R2Pv0g9ORz6GRZtAXLndW&#10;LpLkXjrdEX9odY/PLdZf1ckpeG2q9FDbw0dn3MNuu4xy8bJ/U2pyNz49gog4xmsYfvEZHUpmOvoT&#10;mSCsgmm64qSCLFmCYD9L5ywc/wRZFvL/gPIHAAD//wMAUEsBAi0AFAAGAAgAAAAhALaDOJL+AAAA&#10;4QEAABMAAAAAAAAAAAAAAAAAAAAAAFtDb250ZW50X1R5cGVzXS54bWxQSwECLQAUAAYACAAAACEA&#10;OP0h/9YAAACUAQAACwAAAAAAAAAAAAAAAAAvAQAAX3JlbHMvLnJlbHNQSwECLQAUAAYACAAAACEA&#10;6yw9ctwBAAAMBAAADgAAAAAAAAAAAAAAAAAuAgAAZHJzL2Uyb0RvYy54bWxQSwECLQAUAAYACAAA&#10;ACEA23D+Vd0AAAAIAQAADwAAAAAAAAAAAAAAAAA2BAAAZHJzL2Rvd25yZXYueG1sUEsFBgAAAAAE&#10;AAQA8wAAAEAFAAAAAA==&#10;" strokecolor="#00b050" strokeweight="2.25pt">
                <v:stroke joinstyle="miter"/>
                <w10:wrap anchorx="margin"/>
              </v:line>
            </w:pict>
          </mc:Fallback>
        </mc:AlternateContent>
      </w:r>
      <w:r w:rsidR="006D31B4">
        <w:rPr>
          <w:rFonts w:ascii="Arial Narrow" w:hAnsi="Arial Narrow"/>
          <w:color w:val="002060"/>
          <w:sz w:val="60"/>
          <w:szCs w:val="6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Detalle proceso</w:t>
      </w:r>
      <w:r w:rsidR="00023997">
        <w:rPr>
          <w:rFonts w:ascii="Arial Narrow" w:hAnsi="Arial Narrow"/>
          <w:color w:val="002060"/>
          <w:sz w:val="60"/>
          <w:szCs w:val="6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devolución de seguros</w:t>
      </w:r>
      <w:r>
        <w:rPr>
          <w:rFonts w:asciiTheme="majorHAnsi" w:hAnsiTheme="majorHAnsi"/>
          <w:b/>
          <w:sz w:val="96"/>
        </w:rPr>
        <w:br/>
      </w:r>
      <w:r>
        <w:rPr>
          <w:rFonts w:ascii="Arial Narrow" w:hAnsi="Arial Narrow"/>
          <w:color w:val="002060"/>
          <w:sz w:val="60"/>
          <w:szCs w:val="6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SP&amp;CF</w:t>
      </w:r>
    </w:p>
    <w:p w:rsidR="003135E2" w:rsidRDefault="003135E2" w:rsidP="003135E2">
      <w:pPr>
        <w:jc w:val="both"/>
        <w:rPr>
          <w:sz w:val="96"/>
        </w:rPr>
      </w:pPr>
    </w:p>
    <w:p w:rsidR="003135E2" w:rsidRDefault="003135E2" w:rsidP="003135E2">
      <w:pPr>
        <w:jc w:val="both"/>
        <w:rPr>
          <w:sz w:val="96"/>
        </w:rPr>
      </w:pPr>
    </w:p>
    <w:p w:rsidR="003135E2" w:rsidRDefault="003135E2" w:rsidP="003135E2">
      <w:pPr>
        <w:jc w:val="both"/>
        <w:rPr>
          <w:sz w:val="96"/>
        </w:rPr>
      </w:pPr>
    </w:p>
    <w:p w:rsidR="003135E2" w:rsidRPr="006D31B4" w:rsidRDefault="00BF6918" w:rsidP="006D31B4">
      <w:pPr>
        <w:jc w:val="right"/>
        <w:rPr>
          <w:sz w:val="36"/>
        </w:rPr>
      </w:pPr>
      <w:r>
        <w:rPr>
          <w:sz w:val="36"/>
        </w:rPr>
        <w:br/>
      </w:r>
      <w:r>
        <w:rPr>
          <w:sz w:val="36"/>
        </w:rPr>
        <w:br/>
        <w:t>Fecha de creación: 18</w:t>
      </w:r>
      <w:r w:rsidR="003135E2">
        <w:rPr>
          <w:sz w:val="36"/>
        </w:rPr>
        <w:t>/06/2019</w:t>
      </w:r>
      <w:r w:rsidR="003135E2">
        <w:rPr>
          <w:sz w:val="36"/>
        </w:rPr>
        <w:br/>
        <w:t>Autor: PG&amp;CF</w:t>
      </w:r>
      <w:r w:rsidR="003135E2">
        <w:rPr>
          <w:sz w:val="36"/>
        </w:rPr>
        <w:br/>
        <w:t>Versión: 1.0</w:t>
      </w:r>
    </w:p>
    <w:p w:rsidR="003135E2" w:rsidRPr="0040006F" w:rsidRDefault="003135E2" w:rsidP="003135E2">
      <w:pPr>
        <w:pStyle w:val="Ttulo1"/>
        <w:rPr>
          <w:b/>
          <w:color w:val="000000" w:themeColor="text1"/>
          <w:sz w:val="48"/>
        </w:rPr>
      </w:pPr>
      <w:bookmarkStart w:id="0" w:name="_Toc10558431"/>
      <w:bookmarkStart w:id="1" w:name="_Toc10723547"/>
      <w:bookmarkStart w:id="2" w:name="_Toc11763752"/>
      <w:r w:rsidRPr="0040006F">
        <w:rPr>
          <w:b/>
          <w:color w:val="000000" w:themeColor="text1"/>
          <w:sz w:val="48"/>
        </w:rPr>
        <w:lastRenderedPageBreak/>
        <w:t>1.- Introducción</w:t>
      </w:r>
      <w:bookmarkEnd w:id="0"/>
      <w:bookmarkEnd w:id="1"/>
      <w:bookmarkEnd w:id="2"/>
    </w:p>
    <w:p w:rsidR="003135E2" w:rsidRDefault="003135E2" w:rsidP="003135E2"/>
    <w:p w:rsidR="003135E2" w:rsidRDefault="003135E2" w:rsidP="003135E2">
      <w:pPr>
        <w:rPr>
          <w:sz w:val="24"/>
        </w:rPr>
      </w:pPr>
      <w:r w:rsidRPr="0040006F">
        <w:rPr>
          <w:sz w:val="24"/>
        </w:rPr>
        <w:t>En este manual se detallará</w:t>
      </w:r>
      <w:r>
        <w:rPr>
          <w:sz w:val="24"/>
        </w:rPr>
        <w:t xml:space="preserve"> el proceso de pago de devolución</w:t>
      </w:r>
      <w:bookmarkStart w:id="3" w:name="_GoBack"/>
      <w:bookmarkEnd w:id="3"/>
      <w:r>
        <w:rPr>
          <w:sz w:val="24"/>
        </w:rPr>
        <w:t xml:space="preserve"> de seguros (Cuotas no devengadas).</w:t>
      </w:r>
    </w:p>
    <w:p w:rsidR="00BF6918" w:rsidRDefault="00BF6918" w:rsidP="003135E2">
      <w:pPr>
        <w:rPr>
          <w:sz w:val="24"/>
        </w:rPr>
      </w:pPr>
      <w:r>
        <w:rPr>
          <w:sz w:val="24"/>
        </w:rPr>
        <w:t>Este proceso busca realizar la devolución de dinero de un cliente que renuncia a un seguro SAV. La devolución se realiza al monto correspondiente de las cuotas que no han sido utilizadas (Próximas cuotas).</w:t>
      </w:r>
    </w:p>
    <w:p w:rsidR="00BF6918" w:rsidRDefault="00BF6918" w:rsidP="003135E2">
      <w:pPr>
        <w:rPr>
          <w:sz w:val="24"/>
        </w:rPr>
      </w:pPr>
      <w:r>
        <w:rPr>
          <w:sz w:val="24"/>
        </w:rPr>
        <w:t>Los datos de los montos por clientes se obtienen desde</w:t>
      </w:r>
      <w:r w:rsidR="00757378">
        <w:rPr>
          <w:sz w:val="24"/>
        </w:rPr>
        <w:t xml:space="preserve"> el sistema primario VISSAT y existe</w:t>
      </w:r>
      <w:r>
        <w:rPr>
          <w:sz w:val="24"/>
        </w:rPr>
        <w:t xml:space="preserve"> un plazo de 4 días hábiles para realizar la devolución.</w:t>
      </w:r>
    </w:p>
    <w:p w:rsidR="00BF6918" w:rsidRDefault="00757378" w:rsidP="003135E2">
      <w:pPr>
        <w:rPr>
          <w:sz w:val="24"/>
        </w:rPr>
      </w:pPr>
      <w:r>
        <w:rPr>
          <w:sz w:val="24"/>
        </w:rPr>
        <w:t>Este manual solo contempla cuando el pago es solicitado vía transferencia, ya que cuando el cliente lo pide en efectivo, el pago se hace directamente en la sucursal</w:t>
      </w:r>
      <w:r w:rsidR="006D31B4">
        <w:rPr>
          <w:sz w:val="24"/>
        </w:rPr>
        <w:t xml:space="preserve"> (Sucursal realiza un faltante de caja)</w:t>
      </w:r>
      <w:r>
        <w:rPr>
          <w:sz w:val="24"/>
        </w:rPr>
        <w:t>.</w:t>
      </w:r>
    </w:p>
    <w:p w:rsidR="00C15591" w:rsidRDefault="00C15591" w:rsidP="003135E2">
      <w:pPr>
        <w:rPr>
          <w:sz w:val="24"/>
        </w:rPr>
      </w:pPr>
    </w:p>
    <w:p w:rsidR="00C15591" w:rsidRDefault="00C15591" w:rsidP="003135E2">
      <w:pPr>
        <w:rPr>
          <w:sz w:val="24"/>
        </w:rPr>
      </w:pPr>
    </w:p>
    <w:p w:rsidR="00C15591" w:rsidRDefault="00C15591" w:rsidP="003135E2">
      <w:pPr>
        <w:rPr>
          <w:sz w:val="24"/>
        </w:rPr>
      </w:pPr>
    </w:p>
    <w:p w:rsidR="00C15591" w:rsidRDefault="00C15591" w:rsidP="003135E2">
      <w:pPr>
        <w:rPr>
          <w:sz w:val="24"/>
        </w:rPr>
      </w:pPr>
    </w:p>
    <w:p w:rsidR="00C15591" w:rsidRDefault="00C15591" w:rsidP="003135E2">
      <w:pPr>
        <w:rPr>
          <w:sz w:val="24"/>
        </w:rPr>
      </w:pPr>
    </w:p>
    <w:p w:rsidR="00C15591" w:rsidRDefault="00C15591" w:rsidP="003135E2">
      <w:pPr>
        <w:rPr>
          <w:sz w:val="24"/>
        </w:rPr>
      </w:pPr>
    </w:p>
    <w:p w:rsidR="00C15591" w:rsidRDefault="00C15591" w:rsidP="003135E2">
      <w:pPr>
        <w:rPr>
          <w:sz w:val="24"/>
        </w:rPr>
      </w:pPr>
    </w:p>
    <w:p w:rsidR="00C15591" w:rsidRDefault="00C15591" w:rsidP="003135E2">
      <w:pPr>
        <w:rPr>
          <w:sz w:val="24"/>
        </w:rPr>
      </w:pPr>
    </w:p>
    <w:p w:rsidR="00C15591" w:rsidRDefault="00C15591" w:rsidP="003135E2">
      <w:pPr>
        <w:rPr>
          <w:sz w:val="24"/>
        </w:rPr>
      </w:pPr>
    </w:p>
    <w:p w:rsidR="00C15591" w:rsidRDefault="00C15591" w:rsidP="003135E2">
      <w:pPr>
        <w:rPr>
          <w:sz w:val="24"/>
        </w:rPr>
      </w:pPr>
    </w:p>
    <w:p w:rsidR="00BF6918" w:rsidRDefault="00BF6918" w:rsidP="003135E2">
      <w:pPr>
        <w:rPr>
          <w:sz w:val="24"/>
        </w:rPr>
      </w:pPr>
    </w:p>
    <w:p w:rsidR="00BF6918" w:rsidRDefault="00BF6918" w:rsidP="003135E2">
      <w:pPr>
        <w:rPr>
          <w:sz w:val="24"/>
        </w:rPr>
      </w:pPr>
    </w:p>
    <w:p w:rsidR="00BF6918" w:rsidRDefault="00BF6918">
      <w:pPr>
        <w:rPr>
          <w:sz w:val="24"/>
        </w:rPr>
      </w:pPr>
      <w:r>
        <w:rPr>
          <w:sz w:val="24"/>
        </w:rPr>
        <w:br w:type="page"/>
      </w:r>
    </w:p>
    <w:p w:rsidR="00757378" w:rsidRDefault="00757378" w:rsidP="00C15591">
      <w:pPr>
        <w:pStyle w:val="Ttulo1"/>
        <w:rPr>
          <w:b/>
          <w:color w:val="000000" w:themeColor="text1"/>
          <w:sz w:val="48"/>
        </w:rPr>
      </w:pPr>
      <w:bookmarkStart w:id="4" w:name="_Toc11763753"/>
      <w:r>
        <w:rPr>
          <w:b/>
          <w:color w:val="000000" w:themeColor="text1"/>
          <w:sz w:val="48"/>
        </w:rPr>
        <w:lastRenderedPageBreak/>
        <w:t>2</w:t>
      </w:r>
      <w:r w:rsidRPr="0040006F">
        <w:rPr>
          <w:b/>
          <w:color w:val="000000" w:themeColor="text1"/>
          <w:sz w:val="48"/>
        </w:rPr>
        <w:t xml:space="preserve">.- </w:t>
      </w:r>
      <w:bookmarkEnd w:id="4"/>
      <w:r w:rsidR="00C15591">
        <w:rPr>
          <w:b/>
          <w:color w:val="000000" w:themeColor="text1"/>
          <w:sz w:val="48"/>
        </w:rPr>
        <w:t>Detalles del proceso</w:t>
      </w:r>
    </w:p>
    <w:p w:rsidR="000821F7" w:rsidRDefault="000821F7" w:rsidP="000821F7"/>
    <w:p w:rsidR="000821F7" w:rsidRDefault="000821F7" w:rsidP="000821F7">
      <w:pPr>
        <w:rPr>
          <w:sz w:val="24"/>
        </w:rPr>
      </w:pPr>
      <w:r w:rsidRPr="00C62D03">
        <w:rPr>
          <w:sz w:val="24"/>
        </w:rPr>
        <w:t>Se detallare el proceso en los siguientes pasos:</w:t>
      </w:r>
    </w:p>
    <w:p w:rsidR="00C62D03" w:rsidRPr="005113F1" w:rsidRDefault="00C62D03" w:rsidP="005113F1">
      <w:pPr>
        <w:pStyle w:val="Prrafodelista"/>
        <w:numPr>
          <w:ilvl w:val="0"/>
          <w:numId w:val="4"/>
        </w:numPr>
        <w:rPr>
          <w:sz w:val="24"/>
        </w:rPr>
      </w:pPr>
      <w:r w:rsidRPr="005113F1">
        <w:rPr>
          <w:sz w:val="24"/>
        </w:rPr>
        <w:t>Desde seguros operacionales (Solange Álvarez) envían a SP&amp;CF (</w:t>
      </w:r>
      <w:proofErr w:type="spellStart"/>
      <w:r w:rsidRPr="005113F1">
        <w:rPr>
          <w:sz w:val="24"/>
        </w:rPr>
        <w:t>Urzula</w:t>
      </w:r>
      <w:proofErr w:type="spellEnd"/>
      <w:r w:rsidRPr="005113F1">
        <w:rPr>
          <w:sz w:val="24"/>
        </w:rPr>
        <w:t xml:space="preserve"> Cohen) un mail, el cual contiene el detalle de la devolución que se debe realizar al cliente, el mail contiene los siguientes archivos:</w:t>
      </w:r>
    </w:p>
    <w:p w:rsidR="00C62D03" w:rsidRDefault="00C62D03" w:rsidP="00C62D03">
      <w:pPr>
        <w:pStyle w:val="Prrafodelista"/>
        <w:numPr>
          <w:ilvl w:val="1"/>
          <w:numId w:val="2"/>
        </w:numPr>
      </w:pPr>
      <w:r w:rsidRPr="00C62D03">
        <w:rPr>
          <w:b/>
        </w:rPr>
        <w:t>Cedula identidad del cliente por ambos lados</w:t>
      </w:r>
      <w:r>
        <w:t xml:space="preserve"> (Lo envía la sucursal).</w:t>
      </w:r>
    </w:p>
    <w:p w:rsidR="00C62D03" w:rsidRPr="00C62D03" w:rsidRDefault="00C62D03" w:rsidP="00C62D03">
      <w:pPr>
        <w:pStyle w:val="Prrafodelista"/>
        <w:numPr>
          <w:ilvl w:val="1"/>
          <w:numId w:val="2"/>
        </w:numPr>
      </w:pPr>
      <w:r w:rsidRPr="00C62D03">
        <w:rPr>
          <w:b/>
        </w:rPr>
        <w:t>Formulario de renuncia</w:t>
      </w:r>
      <w:r>
        <w:t xml:space="preserve"> (con fir</w:t>
      </w:r>
      <w:r>
        <w:t>ma de cliente y jefe de local, lo envía la sucursal</w:t>
      </w:r>
      <w:r>
        <w:t>)</w:t>
      </w:r>
    </w:p>
    <w:p w:rsidR="00C62D03" w:rsidRDefault="00C62D03" w:rsidP="00C62D03">
      <w:pPr>
        <w:pStyle w:val="Prrafodelista"/>
        <w:numPr>
          <w:ilvl w:val="0"/>
          <w:numId w:val="3"/>
        </w:numPr>
      </w:pPr>
      <w:r w:rsidRPr="00C62D03">
        <w:rPr>
          <w:b/>
        </w:rPr>
        <w:t>Liquidación de prima</w:t>
      </w:r>
      <w:r>
        <w:t xml:space="preserve"> (</w:t>
      </w:r>
      <w:r w:rsidR="005113F1">
        <w:t xml:space="preserve">lo </w:t>
      </w:r>
      <w:r>
        <w:t xml:space="preserve">genera Solange con </w:t>
      </w:r>
      <w:r w:rsidR="005113F1">
        <w:t>Excel</w:t>
      </w:r>
      <w:r>
        <w:t xml:space="preserve"> </w:t>
      </w:r>
      <w:r w:rsidR="005113F1">
        <w:t>semiautomático</w:t>
      </w:r>
      <w:r>
        <w:t xml:space="preserve">) contiene información que detalla </w:t>
      </w:r>
      <w:r>
        <w:t xml:space="preserve">los </w:t>
      </w:r>
      <w:r>
        <w:t xml:space="preserve">datos de transferencia </w:t>
      </w:r>
      <w:r>
        <w:t xml:space="preserve">del cliente </w:t>
      </w:r>
      <w:r>
        <w:t>(</w:t>
      </w:r>
      <w:r>
        <w:t>Banco, Cuenta, Rut, C</w:t>
      </w:r>
      <w:r>
        <w:t>orreo y monto a transferir)</w:t>
      </w:r>
      <w:r>
        <w:t>.</w:t>
      </w:r>
    </w:p>
    <w:p w:rsidR="00C62D03" w:rsidRPr="005113F1" w:rsidRDefault="00C62D03" w:rsidP="005113F1">
      <w:pPr>
        <w:pStyle w:val="Prrafodelista"/>
        <w:numPr>
          <w:ilvl w:val="0"/>
          <w:numId w:val="3"/>
        </w:numPr>
      </w:pPr>
      <w:r w:rsidRPr="005113F1">
        <w:rPr>
          <w:b/>
        </w:rPr>
        <w:t>Formulario devolución de seguros</w:t>
      </w:r>
      <w:r>
        <w:t xml:space="preserve"> (se genera por medio de </w:t>
      </w:r>
      <w:r w:rsidR="005113F1">
        <w:t>Access</w:t>
      </w:r>
      <w:r>
        <w:t xml:space="preserve"> que se conecta a VISSAT, detalla el cálculo del monto a devolver)</w:t>
      </w:r>
      <w:r w:rsidR="005113F1">
        <w:br/>
      </w:r>
    </w:p>
    <w:p w:rsidR="00C62D03" w:rsidRDefault="005113F1" w:rsidP="00C62D03">
      <w:pPr>
        <w:pStyle w:val="Prrafodelista"/>
        <w:rPr>
          <w:sz w:val="24"/>
        </w:rPr>
      </w:pPr>
      <w:r>
        <w:rPr>
          <w:sz w:val="24"/>
        </w:rPr>
        <w:t>Correo de ejemplo enviado por Seguros Operacionales:</w:t>
      </w:r>
    </w:p>
    <w:p w:rsidR="00C62D03" w:rsidRPr="005113F1" w:rsidRDefault="00C62D03" w:rsidP="005113F1">
      <w:pPr>
        <w:ind w:left="2832" w:firstLine="708"/>
        <w:rPr>
          <w:sz w:val="24"/>
        </w:rPr>
      </w:pPr>
      <w:r>
        <w:object w:dxaOrig="1539" w:dyaOrig="99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25pt;height:49.5pt" o:ole="">
            <v:imagedata r:id="rId7" o:title=""/>
          </v:shape>
          <o:OLEObject Type="Embed" ProgID="Package" ShapeID="_x0000_i1025" DrawAspect="Icon" ObjectID="_1622385557" r:id="rId8"/>
        </w:object>
      </w:r>
    </w:p>
    <w:p w:rsidR="005113F1" w:rsidRDefault="005113F1" w:rsidP="005113F1">
      <w:pPr>
        <w:pStyle w:val="Prrafodelista"/>
        <w:numPr>
          <w:ilvl w:val="0"/>
          <w:numId w:val="4"/>
        </w:numPr>
        <w:rPr>
          <w:sz w:val="24"/>
        </w:rPr>
      </w:pPr>
      <w:r w:rsidRPr="005113F1">
        <w:rPr>
          <w:sz w:val="24"/>
        </w:rPr>
        <w:t xml:space="preserve">Se imprime la </w:t>
      </w:r>
      <w:r w:rsidRPr="00A05A2A">
        <w:rPr>
          <w:b/>
          <w:sz w:val="24"/>
        </w:rPr>
        <w:t>liquidación de prima</w:t>
      </w:r>
      <w:r w:rsidRPr="005113F1">
        <w:rPr>
          <w:sz w:val="24"/>
        </w:rPr>
        <w:t xml:space="preserve"> para que SP&amp;CF (Silvia Sepúlveda)</w:t>
      </w:r>
      <w:r>
        <w:rPr>
          <w:sz w:val="24"/>
        </w:rPr>
        <w:t xml:space="preserve"> realice la firma y timbre del documento, una vez firmado y timbrado, se escanea.</w:t>
      </w:r>
    </w:p>
    <w:p w:rsidR="00A05A2A" w:rsidRDefault="00A05A2A" w:rsidP="00A05A2A">
      <w:pPr>
        <w:pStyle w:val="Prrafodelista"/>
        <w:rPr>
          <w:sz w:val="24"/>
        </w:rPr>
      </w:pPr>
    </w:p>
    <w:p w:rsidR="005113F1" w:rsidRDefault="00A05A2A" w:rsidP="00A05A2A">
      <w:pPr>
        <w:pStyle w:val="Prrafodelista"/>
        <w:numPr>
          <w:ilvl w:val="0"/>
          <w:numId w:val="4"/>
        </w:numPr>
        <w:rPr>
          <w:sz w:val="24"/>
        </w:rPr>
      </w:pPr>
      <w:r>
        <w:rPr>
          <w:sz w:val="24"/>
        </w:rPr>
        <w:t xml:space="preserve">Luego se genera un formulario en Excel para realizar la solicitud del mixto (pago en EBSO), este Excel se completa con los datos que contiene la </w:t>
      </w:r>
      <w:r w:rsidRPr="00A05A2A">
        <w:rPr>
          <w:b/>
          <w:sz w:val="24"/>
        </w:rPr>
        <w:t>liquidación de prima</w:t>
      </w:r>
      <w:r w:rsidRPr="00A05A2A">
        <w:rPr>
          <w:sz w:val="24"/>
        </w:rPr>
        <w:t>,</w:t>
      </w:r>
      <w:r>
        <w:rPr>
          <w:sz w:val="24"/>
        </w:rPr>
        <w:t xml:space="preserve"> (Anexo a este manual se adjunta formulario Excel)</w:t>
      </w:r>
    </w:p>
    <w:p w:rsidR="00A05A2A" w:rsidRPr="00A05A2A" w:rsidRDefault="00A05A2A" w:rsidP="00A05A2A">
      <w:pPr>
        <w:pStyle w:val="Prrafodelista"/>
        <w:rPr>
          <w:sz w:val="24"/>
        </w:rPr>
      </w:pPr>
    </w:p>
    <w:p w:rsidR="00A05A2A" w:rsidRDefault="00A05A2A" w:rsidP="006D31B4">
      <w:pPr>
        <w:pStyle w:val="Prrafodelista"/>
        <w:numPr>
          <w:ilvl w:val="0"/>
          <w:numId w:val="4"/>
        </w:numPr>
        <w:rPr>
          <w:sz w:val="24"/>
        </w:rPr>
      </w:pPr>
      <w:r>
        <w:rPr>
          <w:sz w:val="24"/>
        </w:rPr>
        <w:t xml:space="preserve">Una vez que se tiene el </w:t>
      </w:r>
      <w:r w:rsidRPr="006D31B4">
        <w:rPr>
          <w:b/>
          <w:sz w:val="24"/>
        </w:rPr>
        <w:t>formulario completo</w:t>
      </w:r>
      <w:r>
        <w:rPr>
          <w:sz w:val="24"/>
        </w:rPr>
        <w:t xml:space="preserve"> y la </w:t>
      </w:r>
      <w:r w:rsidRPr="006D31B4">
        <w:rPr>
          <w:b/>
          <w:sz w:val="24"/>
        </w:rPr>
        <w:t>liquidación de prima</w:t>
      </w:r>
      <w:r>
        <w:rPr>
          <w:sz w:val="24"/>
        </w:rPr>
        <w:t xml:space="preserve"> con firma y timbre, se envía por correo a </w:t>
      </w:r>
      <w:r w:rsidR="006D31B4" w:rsidRPr="006D31B4">
        <w:rPr>
          <w:b/>
          <w:sz w:val="24"/>
        </w:rPr>
        <w:t>‘Pagos por mail’</w:t>
      </w:r>
      <w:r w:rsidR="006D31B4">
        <w:rPr>
          <w:sz w:val="24"/>
        </w:rPr>
        <w:t xml:space="preserve"> (</w:t>
      </w:r>
      <w:hyperlink r:id="rId9" w:history="1">
        <w:r w:rsidR="006D31B4" w:rsidRPr="00530E58">
          <w:rPr>
            <w:rStyle w:val="Hipervnculo"/>
            <w:sz w:val="24"/>
          </w:rPr>
          <w:t>pagopormail@centralsae.cl</w:t>
        </w:r>
      </w:hyperlink>
      <w:r w:rsidR="006D31B4">
        <w:rPr>
          <w:sz w:val="24"/>
        </w:rPr>
        <w:t>) que corresponde al área de Control de gastos CSC.</w:t>
      </w:r>
    </w:p>
    <w:p w:rsidR="006D31B4" w:rsidRPr="006D31B4" w:rsidRDefault="006D31B4" w:rsidP="006D31B4">
      <w:pPr>
        <w:pStyle w:val="Prrafodelista"/>
        <w:rPr>
          <w:sz w:val="24"/>
        </w:rPr>
      </w:pPr>
    </w:p>
    <w:p w:rsidR="006D31B4" w:rsidRDefault="006D31B4" w:rsidP="006D31B4">
      <w:pPr>
        <w:pStyle w:val="Prrafodelista"/>
        <w:numPr>
          <w:ilvl w:val="0"/>
          <w:numId w:val="4"/>
        </w:numPr>
        <w:rPr>
          <w:sz w:val="24"/>
        </w:rPr>
      </w:pPr>
      <w:r>
        <w:rPr>
          <w:sz w:val="24"/>
        </w:rPr>
        <w:t>Control de gastos CSC recibe el correo y verifica que los datos estén correctos, también valida que el documento este timbrado y firmado por SP&amp;CF, luego envía los datos a AP para que generen el Mixto de pago.</w:t>
      </w:r>
    </w:p>
    <w:p w:rsidR="006D31B4" w:rsidRPr="006D31B4" w:rsidRDefault="006D31B4" w:rsidP="006D31B4">
      <w:pPr>
        <w:pStyle w:val="Prrafodelista"/>
        <w:rPr>
          <w:sz w:val="24"/>
        </w:rPr>
      </w:pPr>
    </w:p>
    <w:p w:rsidR="006D31B4" w:rsidRPr="00A05A2A" w:rsidRDefault="006D31B4" w:rsidP="001E361F">
      <w:pPr>
        <w:pStyle w:val="Prrafodelista"/>
        <w:numPr>
          <w:ilvl w:val="0"/>
          <w:numId w:val="4"/>
        </w:numPr>
        <w:rPr>
          <w:sz w:val="24"/>
        </w:rPr>
      </w:pPr>
      <w:r w:rsidRPr="006D31B4">
        <w:rPr>
          <w:sz w:val="24"/>
        </w:rPr>
        <w:t xml:space="preserve"> AP genera el mixto de pago y avisa a tesorería para que realicen la transferencia correspondiente.</w:t>
      </w:r>
    </w:p>
    <w:sectPr w:rsidR="006D31B4" w:rsidRPr="00A05A2A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2A45C58"/>
    <w:multiLevelType w:val="hybridMultilevel"/>
    <w:tmpl w:val="99EEEE0E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E96CE3"/>
    <w:multiLevelType w:val="hybridMultilevel"/>
    <w:tmpl w:val="063097A0"/>
    <w:lvl w:ilvl="0" w:tplc="3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59B42500"/>
    <w:multiLevelType w:val="hybridMultilevel"/>
    <w:tmpl w:val="CDE6AF5A"/>
    <w:lvl w:ilvl="0" w:tplc="995C00D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CE33C9F"/>
    <w:multiLevelType w:val="hybridMultilevel"/>
    <w:tmpl w:val="259EAAA0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35E2"/>
    <w:rsid w:val="00023997"/>
    <w:rsid w:val="000821F7"/>
    <w:rsid w:val="003135E2"/>
    <w:rsid w:val="005113F1"/>
    <w:rsid w:val="006D31B4"/>
    <w:rsid w:val="00757378"/>
    <w:rsid w:val="0076688C"/>
    <w:rsid w:val="00A05A2A"/>
    <w:rsid w:val="00BF6918"/>
    <w:rsid w:val="00C15591"/>
    <w:rsid w:val="00C62D03"/>
    <w:rsid w:val="00CB6BBE"/>
    <w:rsid w:val="00E05C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0854DD6-F3DB-48E2-AE27-B3615A1AC3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135E2"/>
  </w:style>
  <w:style w:type="paragraph" w:styleId="Ttulo1">
    <w:name w:val="heading 1"/>
    <w:basedOn w:val="Normal"/>
    <w:next w:val="Normal"/>
    <w:link w:val="Ttulo1Car"/>
    <w:uiPriority w:val="9"/>
    <w:qFormat/>
    <w:rsid w:val="003135E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3135E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deTDC">
    <w:name w:val="TOC Heading"/>
    <w:basedOn w:val="Ttulo1"/>
    <w:next w:val="Normal"/>
    <w:uiPriority w:val="39"/>
    <w:unhideWhenUsed/>
    <w:qFormat/>
    <w:rsid w:val="003135E2"/>
    <w:pPr>
      <w:outlineLvl w:val="9"/>
    </w:pPr>
    <w:rPr>
      <w:lang w:eastAsia="es-CL"/>
    </w:rPr>
  </w:style>
  <w:style w:type="paragraph" w:styleId="TDC1">
    <w:name w:val="toc 1"/>
    <w:basedOn w:val="Normal"/>
    <w:next w:val="Normal"/>
    <w:autoRedefine/>
    <w:uiPriority w:val="39"/>
    <w:unhideWhenUsed/>
    <w:rsid w:val="00BF6918"/>
    <w:pPr>
      <w:spacing w:after="100"/>
    </w:pPr>
  </w:style>
  <w:style w:type="character" w:styleId="Hipervnculo">
    <w:name w:val="Hyperlink"/>
    <w:basedOn w:val="Fuentedeprrafopredeter"/>
    <w:uiPriority w:val="99"/>
    <w:unhideWhenUsed/>
    <w:rsid w:val="00BF6918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C1559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pagopormail@centralsae.cl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BEA948-12B9-4BFF-9531-C9824FC5DE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334</TotalTime>
  <Pages>3</Pages>
  <Words>393</Words>
  <Characters>2167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Bryan Salas Escobar</dc:creator>
  <cp:keywords/>
  <dc:description/>
  <cp:lastModifiedBy>Bryan Salas Escobar</cp:lastModifiedBy>
  <cp:revision>3</cp:revision>
  <dcterms:created xsi:type="dcterms:W3CDTF">2019-06-18T16:15:00Z</dcterms:created>
  <dcterms:modified xsi:type="dcterms:W3CDTF">2019-06-18T21:53:00Z</dcterms:modified>
</cp:coreProperties>
</file>